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1000" w:lineRule="exact"/>
        <w:jc w:val="distribute"/>
        <w:textAlignment w:val="auto"/>
        <w:rPr>
          <w:rFonts w:hint="eastAsia" w:ascii="方正小标宋简体" w:hAnsi="方正小标宋简体" w:eastAsia="方正小标宋简体" w:cs="方正小标宋简体"/>
          <w:bCs/>
          <w:color w:val="FF0000"/>
          <w:spacing w:val="57"/>
          <w:w w:val="73"/>
          <w:sz w:val="88"/>
          <w:szCs w:val="88"/>
          <w:lang w:val="en-US" w:eastAsia="zh-CN"/>
        </w:rPr>
      </w:pPr>
      <w:bookmarkStart w:id="0" w:name="OLE_LINK2"/>
      <w:r>
        <w:rPr>
          <w:rFonts w:hint="eastAsia" w:ascii="方正小标宋简体" w:hAnsi="方正小标宋简体" w:eastAsia="方正小标宋简体" w:cs="方正小标宋简体"/>
          <w:bCs/>
          <w:color w:val="FF0000"/>
          <w:spacing w:val="-34"/>
          <w:w w:val="73"/>
          <w:sz w:val="84"/>
          <w:szCs w:val="84"/>
          <w:lang w:val="en-US" w:eastAsia="zh-CN"/>
        </w:rPr>
        <w:t>安徽省高等学校图书情报工作委员会</w:t>
      </w:r>
      <w:bookmarkStart w:id="2" w:name="_GoBack"/>
      <w:bookmarkEnd w:id="2"/>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bCs/>
          <w:color w:val="FF0000"/>
          <w:spacing w:val="57"/>
          <w:w w:val="73"/>
          <w:sz w:val="88"/>
          <w:szCs w:val="88"/>
          <w:lang w:val="en-US" w:eastAsia="zh-CN"/>
        </w:rPr>
      </w:pPr>
      <w:r>
        <w:rPr>
          <w:rFonts w:hint="eastAsia" w:ascii="方正小标宋简体" w:hAnsi="方正小标宋简体" w:eastAsia="方正小标宋简体" w:cs="方正小标宋简体"/>
          <w:bCs/>
          <w:color w:val="FF0000"/>
          <w:spacing w:val="0"/>
          <w:w w:val="73"/>
          <w:sz w:val="84"/>
          <w:szCs w:val="84"/>
          <w:lang w:val="en-US" w:eastAsia="zh-CN"/>
        </w:rPr>
        <w:t>安徽省高等学校数字图书馆</w:t>
      </w:r>
    </w:p>
    <w:p>
      <w:pPr>
        <w:keepNext w:val="0"/>
        <w:keepLines w:val="0"/>
        <w:pageBreakBefore w:val="0"/>
        <w:widowControl/>
        <w:kinsoku/>
        <w:wordWrap/>
        <w:overflowPunct/>
        <w:topLinePunct w:val="0"/>
        <w:autoSpaceDE/>
        <w:autoSpaceDN/>
        <w:bidi w:val="0"/>
        <w:adjustRightInd/>
        <w:snapToGrid w:val="0"/>
        <w:spacing w:before="157" w:beforeLines="50" w:after="157" w:afterLines="50" w:line="560" w:lineRule="exact"/>
        <w:jc w:val="center"/>
        <w:textAlignment w:val="auto"/>
        <w:rPr>
          <w:rFonts w:ascii="励字小标宋简" w:hAnsi="励字小标宋简" w:eastAsia="励字小标宋简" w:cs="励字小标宋简"/>
          <w:bCs/>
          <w:sz w:val="44"/>
          <w:szCs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20320</wp:posOffset>
                </wp:positionH>
                <wp:positionV relativeFrom="paragraph">
                  <wp:posOffset>100330</wp:posOffset>
                </wp:positionV>
                <wp:extent cx="5629275" cy="0"/>
                <wp:effectExtent l="0" t="28575" r="9525" b="28575"/>
                <wp:wrapTopAndBottom/>
                <wp:docPr id="4" name="直接连接符 4"/>
                <wp:cNvGraphicFramePr/>
                <a:graphic xmlns:a="http://schemas.openxmlformats.org/drawingml/2006/main">
                  <a:graphicData uri="http://schemas.microsoft.com/office/word/2010/wordprocessingShape">
                    <wps:wsp>
                      <wps:cNvCnPr/>
                      <wps:spPr>
                        <a:xfrm>
                          <a:off x="1007745" y="1471295"/>
                          <a:ext cx="5629275" cy="0"/>
                        </a:xfrm>
                        <a:prstGeom prst="line">
                          <a:avLst/>
                        </a:prstGeom>
                        <a:ln w="57150" cmpd="thickThin">
                          <a:solidFill>
                            <a:srgbClr val="FF0000"/>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6pt;margin-top:7.9pt;height:0pt;width:443.25pt;mso-wrap-distance-bottom:0pt;mso-wrap-distance-top:0pt;z-index:251659264;mso-width-relative:page;mso-height-relative:page;" filled="f" stroked="t" coordsize="21600,21600" o:gfxdata="UEsDBAoAAAAAAIdO4kAAAAAAAAAAAAAAAAAEAAAAZHJzL1BLAwQUAAAACACHTuJASOGHQtYAAAAH&#10;AQAADwAAAGRycy9kb3ducmV2LnhtbE2PzU7DMBCE70i8g7VI3KjTVrQhxOkBhZ4AqaXlvImXJDS2&#10;U9v9gadnEQc47sxo9pt8cTa9OJIPnbMKxqMEBNna6c42CjavjzcpiBDRauydJQWfFGBRXF7kmGl3&#10;sis6rmMjuMSGDBW0MQ6ZlKFuyWAYuYEse+/OG4x8+kZqjycuN72cJMlMGuwsf2hxoIeW6t36YBS8&#10;+Wr+NXsucftBy6d9Od3tX5alUtdX4+QeRKRz/AvDDz6jQ8FMlTtYHUSvYDrhIMu3PIDtNL2bg6h+&#10;BVnk8j9/8Q1QSwMEFAAAAAgAh07iQCTI5nf7AQAAxAMAAA4AAABkcnMvZTJvRG9jLnhtbK1TzW4T&#10;MRC+I/EOlu9kN6uk266y6aFRuCCIRHkAx2tnLfwnj5tNXoIXQOIGJ47ceZuWx2DsTVsolx7IwRnb&#10;n7+Z75vZxeXBaLIXAZSzLZ1OSkqE5a5TdtfSD9frV+eUQGS2Y9pZ0dKjAHq5fPliMfhGVK53uhOB&#10;IImFZvAt7WP0TVEA74VhMHFeWLyULhgWcRt2RRfYgOxGF1VZnhWDC50PjgsAPF2Nl/TEGJ5D6KRU&#10;XKwcvzHCxpE1CM0iSoJeeaDLXK2Ugsd3UoKIRLcUlca8YhKMt2ktlgvW7ALzveKnEthzSniiyTBl&#10;MekD1YpFRm6C+ofKKB4cOBkn3JliFJIdQRXT8ok373vmRdaCVoN/MB3+Hy1/u98EorqWziixzGDD&#10;7z7/uP309dfPL7jeff9GZsmkwUOD2Cu7Cacd+E1Iig8ymPSPWsgBB6os63o2p+SI8ayeVhfz0WRx&#10;iIQjYH5WXVQ1AjgicgOKRxIfIL4WzpAUtFQrm/Szhu3fQMTECL2HpGPr1krr3ENtyYDk9XSOreUM&#10;B1PiQGBoPIqL2N6P1z02iTC9w7nnMWRicFp1iSTRQdhtr3Qge4bTsl6X+Eu1Y9K/YKmCFYN+xOWr&#10;UaJRET8NrUxLz9Pj+9faIklycPQsRVvXHbOV+Rybm9OcBjFNz5/7/Prx41v+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jhh0LWAAAABwEAAA8AAAAAAAAAAQAgAAAAIgAAAGRycy9kb3ducmV2Lnht&#10;bFBLAQIUABQAAAAIAIdO4kAkyOZ3+wEAAMQDAAAOAAAAAAAAAAEAIAAAACUBAABkcnMvZTJvRG9j&#10;LnhtbFBLBQYAAAAABgAGAFkBAACSBQAAAAA=&#10;">
                <v:fill on="f" focussize="0,0"/>
                <v:stroke weight="4.5pt" color="#FF0000 [3204]" linestyle="thickThin" miterlimit="8" joinstyle="miter"/>
                <v:imagedata o:title=""/>
                <o:lock v:ext="edit" aspectratio="f"/>
                <w10:wrap type="topAndBottom"/>
              </v:line>
            </w:pict>
          </mc:Fallback>
        </mc:AlternateContent>
      </w:r>
      <w:r>
        <w:rPr>
          <w:rFonts w:hint="eastAsia" w:ascii="励字小标宋简" w:hAnsi="励字小标宋简" w:eastAsia="励字小标宋简" w:cs="励字小标宋简"/>
          <w:bCs/>
          <w:sz w:val="44"/>
          <w:szCs w:val="44"/>
        </w:rPr>
        <w:t>关于举办第六届安徽省“图书馆杯”</w:t>
      </w:r>
    </w:p>
    <w:p>
      <w:pPr>
        <w:keepNext w:val="0"/>
        <w:keepLines w:val="0"/>
        <w:pageBreakBefore w:val="0"/>
        <w:widowControl/>
        <w:kinsoku/>
        <w:wordWrap/>
        <w:overflowPunct/>
        <w:topLinePunct w:val="0"/>
        <w:autoSpaceDE/>
        <w:autoSpaceDN/>
        <w:bidi w:val="0"/>
        <w:adjustRightInd/>
        <w:snapToGrid w:val="0"/>
        <w:spacing w:before="157" w:beforeLines="50" w:after="157" w:afterLines="50" w:line="560" w:lineRule="exact"/>
        <w:jc w:val="center"/>
        <w:textAlignment w:val="auto"/>
        <w:rPr>
          <w:rFonts w:hint="eastAsia" w:ascii="励字小标宋简" w:hAnsi="励字小标宋简" w:eastAsia="励字小标宋简" w:cs="励字小标宋简"/>
          <w:bCs/>
          <w:sz w:val="36"/>
          <w:szCs w:val="36"/>
        </w:rPr>
      </w:pPr>
      <w:r>
        <w:rPr>
          <w:rFonts w:hint="eastAsia" w:ascii="励字小标宋简" w:hAnsi="励字小标宋简" w:eastAsia="励字小标宋简" w:cs="励字小标宋简"/>
          <w:bCs/>
          <w:sz w:val="44"/>
          <w:szCs w:val="44"/>
        </w:rPr>
        <w:t>中国文化国际传播大赛</w:t>
      </w:r>
      <w:bookmarkEnd w:id="0"/>
      <w:r>
        <w:rPr>
          <w:rFonts w:hint="eastAsia" w:ascii="励字小标宋简" w:hAnsi="励字小标宋简" w:eastAsia="励字小标宋简" w:cs="励字小标宋简"/>
          <w:bCs/>
          <w:sz w:val="44"/>
          <w:szCs w:val="44"/>
        </w:rPr>
        <w:t>的通知</w:t>
      </w:r>
    </w:p>
    <w:p>
      <w:pPr>
        <w:keepNext w:val="0"/>
        <w:keepLines w:val="0"/>
        <w:pageBreakBefore w:val="0"/>
        <w:widowControl/>
        <w:kinsoku/>
        <w:wordWrap/>
        <w:overflowPunct/>
        <w:topLinePunct w:val="0"/>
        <w:autoSpaceDE/>
        <w:autoSpaceDN/>
        <w:bidi w:val="0"/>
        <w:snapToGrid w:val="0"/>
        <w:spacing w:line="560" w:lineRule="exact"/>
        <w:textAlignment w:val="auto"/>
        <w:rPr>
          <w:rFonts w:hint="eastAsia" w:ascii="励字小标宋简" w:hAnsi="励字小标宋简" w:eastAsia="励字小标宋简" w:cs="励字小标宋简"/>
          <w:bCs/>
          <w:sz w:val="32"/>
          <w:szCs w:val="32"/>
        </w:rPr>
      </w:pPr>
      <w:r>
        <w:rPr>
          <w:rFonts w:hint="eastAsia" w:ascii="仿宋" w:hAnsi="仿宋" w:cs="仿宋"/>
          <w:bCs/>
          <w:color w:val="000000"/>
          <w:sz w:val="32"/>
          <w:szCs w:val="32"/>
        </w:rPr>
        <w:t>各高校图书馆：</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习近平总书记在党的二十大报告中提出，要加快构建中国话语和中国叙事体系，讲好中国故事、传播好中国声音，展现可信、可爱、可敬的中国形象。安徽文脉源远流长，“五大文化”孕育了丰富的故事、风物、文艺成果，是中国文化对外传播宝贵的地方素材库。</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lang w:val="zh-CN"/>
        </w:rPr>
      </w:pPr>
      <w:r>
        <w:rPr>
          <w:rFonts w:hint="eastAsia" w:ascii="仿宋" w:hAnsi="仿宋" w:cs="仿宋"/>
          <w:bCs/>
          <w:color w:val="000000"/>
          <w:sz w:val="32"/>
          <w:szCs w:val="32"/>
        </w:rPr>
        <w:t>为深入学习贯彻习近平文化思想，积极推进文化自信，挖掘安徽地方特色文化内涵，助力中华文化与安徽地域文化走向世界，深化跨文化交流，拓展高校多元外语学习实践，安徽省高等学校图书情报工作委员会、安徽省高等学校数字图书馆联合全省各高校图书馆举办第六届安徽省“图书馆杯”中国文化国际传播大赛。</w:t>
      </w:r>
      <w:r>
        <w:rPr>
          <w:rFonts w:ascii="Times New Roman" w:hAnsi="Times New Roman"/>
          <w:bCs/>
          <w:color w:val="000000"/>
          <w:sz w:val="32"/>
          <w:szCs w:val="32"/>
        </w:rPr>
        <w:t>现将有关事项通知如下：</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一、组织机构</w:t>
      </w:r>
    </w:p>
    <w:p>
      <w:pPr>
        <w:keepNext w:val="0"/>
        <w:keepLines w:val="0"/>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lang w:bidi="ar"/>
        </w:rPr>
      </w:pPr>
      <w:r>
        <w:rPr>
          <w:rFonts w:hint="eastAsia" w:ascii="仿宋" w:hAnsi="仿宋" w:cs="仿宋"/>
          <w:sz w:val="32"/>
          <w:szCs w:val="32"/>
          <w:lang w:bidi="ar"/>
        </w:rPr>
        <w:t>主办单位：安徽省高等学校图书情报工作委员会</w:t>
      </w:r>
    </w:p>
    <w:p>
      <w:pPr>
        <w:keepNext w:val="0"/>
        <w:keepLines w:val="0"/>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lang w:bidi="ar"/>
        </w:rPr>
      </w:pPr>
      <w:r>
        <w:rPr>
          <w:rFonts w:hint="eastAsia" w:ascii="仿宋" w:hAnsi="仿宋" w:cs="仿宋"/>
          <w:sz w:val="32"/>
          <w:szCs w:val="32"/>
          <w:lang w:bidi="ar"/>
        </w:rPr>
        <w:t xml:space="preserve">          安徽省高等学校数字图书馆</w:t>
      </w:r>
    </w:p>
    <w:p>
      <w:pPr>
        <w:keepNext w:val="0"/>
        <w:keepLines w:val="0"/>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lang w:bidi="ar"/>
        </w:rPr>
      </w:pPr>
      <w:r>
        <w:rPr>
          <w:rFonts w:hint="eastAsia" w:ascii="仿宋" w:hAnsi="仿宋" w:cs="仿宋"/>
          <w:sz w:val="32"/>
          <w:szCs w:val="32"/>
          <w:lang w:bidi="ar"/>
        </w:rPr>
        <w:t>承办单位：</w:t>
      </w:r>
      <w:r>
        <w:rPr>
          <w:rFonts w:hint="eastAsia" w:ascii="仿宋" w:hAnsi="仿宋" w:cs="仿宋"/>
          <w:sz w:val="32"/>
          <w:szCs w:val="32"/>
        </w:rPr>
        <w:t>阅途文化集团</w:t>
      </w:r>
    </w:p>
    <w:p>
      <w:pPr>
        <w:keepNext w:val="0"/>
        <w:keepLines w:val="0"/>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lang w:bidi="ar"/>
        </w:rPr>
      </w:pPr>
      <w:r>
        <w:rPr>
          <w:rFonts w:hint="eastAsia" w:ascii="仿宋" w:hAnsi="仿宋" w:cs="仿宋"/>
          <w:sz w:val="32"/>
          <w:szCs w:val="32"/>
          <w:lang w:bidi="ar"/>
        </w:rPr>
        <w:t>组织单位：安徽省各高校图书馆</w:t>
      </w:r>
    </w:p>
    <w:p>
      <w:pPr>
        <w:keepNext w:val="0"/>
        <w:keepLines w:val="0"/>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lang w:bidi="ar"/>
        </w:rPr>
      </w:pPr>
      <w:r>
        <w:rPr>
          <w:rFonts w:hint="eastAsia" w:ascii="仿宋" w:hAnsi="仿宋" w:cs="仿宋"/>
          <w:sz w:val="32"/>
          <w:szCs w:val="32"/>
          <w:lang w:bidi="ar"/>
        </w:rPr>
        <w:t>活动平台：</w:t>
      </w:r>
      <w:r>
        <w:rPr>
          <w:rFonts w:hint="eastAsia" w:ascii="仿宋" w:hAnsi="仿宋" w:cs="仿宋"/>
          <w:bCs/>
          <w:color w:val="000000"/>
          <w:sz w:val="32"/>
          <w:szCs w:val="32"/>
        </w:rPr>
        <w:t>MET世界语言学习馆</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bCs/>
          <w:color w:val="000000"/>
          <w:sz w:val="32"/>
          <w:szCs w:val="32"/>
        </w:rPr>
      </w:pPr>
      <w:r>
        <w:rPr>
          <w:rFonts w:hint="eastAsia" w:ascii="黑体" w:hAnsi="黑体" w:eastAsia="黑体" w:cs="黑体"/>
          <w:bCs/>
          <w:color w:val="000000"/>
          <w:sz w:val="32"/>
          <w:szCs w:val="32"/>
        </w:rPr>
        <w:t>二、活动主题</w:t>
      </w:r>
    </w:p>
    <w:p>
      <w:pPr>
        <w:keepNext w:val="0"/>
        <w:keepLines w:val="0"/>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rPr>
      </w:pPr>
      <w:r>
        <w:rPr>
          <w:rFonts w:hint="eastAsia" w:ascii="仿宋" w:hAnsi="仿宋" w:cs="仿宋"/>
          <w:sz w:val="32"/>
          <w:szCs w:val="32"/>
        </w:rPr>
        <w:t>皖美故事，世界共赏</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bCs/>
          <w:color w:val="000000"/>
          <w:sz w:val="32"/>
          <w:szCs w:val="32"/>
        </w:rPr>
      </w:pPr>
      <w:r>
        <w:rPr>
          <w:rFonts w:hint="eastAsia" w:ascii="黑体" w:hAnsi="黑体" w:eastAsia="黑体" w:cs="黑体"/>
          <w:bCs/>
          <w:color w:val="000000"/>
          <w:sz w:val="32"/>
          <w:szCs w:val="32"/>
        </w:rPr>
        <w:t>三、活动对象</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仿宋" w:hAnsi="仿宋" w:cs="仿宋"/>
          <w:color w:val="000000" w:themeColor="text1"/>
          <w:sz w:val="32"/>
          <w:szCs w:val="32"/>
          <w14:textFill>
            <w14:solidFill>
              <w14:schemeClr w14:val="tx1"/>
            </w14:solidFill>
          </w14:textFill>
        </w:rPr>
        <w:t>安徽省各高校在校生，</w:t>
      </w:r>
      <w:r>
        <w:rPr>
          <w:rFonts w:hint="eastAsia" w:ascii="仿宋" w:hAnsi="仿宋" w:cs="仿宋"/>
          <w:sz w:val="32"/>
          <w:szCs w:val="32"/>
        </w:rPr>
        <w:t>分为“本研组”“高职高专组”两个组别。</w:t>
      </w:r>
      <w:r>
        <w:rPr>
          <w:rFonts w:hint="eastAsia" w:ascii="仿宋" w:hAnsi="仿宋" w:cs="仿宋"/>
          <w:color w:val="000000" w:themeColor="text1"/>
          <w:sz w:val="32"/>
          <w:szCs w:val="32"/>
          <w14:textFill>
            <w14:solidFill>
              <w14:schemeClr w14:val="tx1"/>
            </w14:solidFill>
          </w14:textFill>
        </w:rPr>
        <w:t>本科生和研究生报名“本研组”，专科生报名“高职高专组”。如学校同时有本科和专科生，学生需要按照自己的专业级别选择不同组别</w:t>
      </w:r>
      <w:r>
        <w:rPr>
          <w:rFonts w:hint="eastAsia" w:ascii="仿宋" w:hAnsi="仿宋" w:cs="仿宋"/>
          <w:sz w:val="32"/>
          <w:szCs w:val="32"/>
        </w:rPr>
        <w:t>。</w:t>
      </w:r>
      <w:r>
        <w:rPr>
          <w:rFonts w:hint="eastAsia" w:ascii="仿宋" w:hAnsi="仿宋" w:cs="仿宋"/>
          <w:color w:val="000000" w:themeColor="text1"/>
          <w:sz w:val="32"/>
          <w:szCs w:val="32"/>
          <w14:textFill>
            <w14:solidFill>
              <w14:schemeClr w14:val="tx1"/>
            </w14:solidFill>
          </w14:textFill>
        </w:rPr>
        <w:t>可单人参赛，亦可2-5人组队参与。</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四、大赛命题</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仿宋" w:hAnsi="仿宋" w:cs="仿宋"/>
          <w:color w:val="000000" w:themeColor="text1"/>
          <w:sz w:val="32"/>
          <w:szCs w:val="32"/>
          <w14:textFill>
            <w14:solidFill>
              <w14:schemeClr w14:val="tx1"/>
            </w14:solidFill>
          </w14:textFill>
        </w:rPr>
        <w:t>本次大赛共设4个命题，参赛团队可选择其中一个或多个命题投稿。</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楷体" w:hAnsi="楷体" w:eastAsia="楷体" w:cs="楷体"/>
          <w:bCs/>
          <w:sz w:val="32"/>
          <w:szCs w:val="32"/>
        </w:rPr>
        <w:t>（一）安徽故事</w:t>
      </w:r>
    </w:p>
    <w:p>
      <w:pPr>
        <w:keepNext w:val="0"/>
        <w:keepLines w:val="0"/>
        <w:pageBreakBefore w:val="0"/>
        <w:kinsoku/>
        <w:wordWrap/>
        <w:overflowPunct/>
        <w:topLinePunct w:val="0"/>
        <w:autoSpaceDE/>
        <w:autoSpaceDN/>
        <w:bidi w:val="0"/>
        <w:snapToGrid w:val="0"/>
        <w:spacing w:line="560" w:lineRule="exact"/>
        <w:ind w:firstLine="616" w:firstLineChars="200"/>
        <w:textAlignment w:val="auto"/>
        <w:rPr>
          <w:rFonts w:hint="eastAsia" w:ascii="仿宋" w:hAnsi="仿宋" w:cs="仿宋"/>
          <w:color w:val="000000" w:themeColor="text1"/>
          <w:spacing w:val="-6"/>
          <w:sz w:val="32"/>
          <w:szCs w:val="32"/>
          <w14:textFill>
            <w14:solidFill>
              <w14:schemeClr w14:val="tx1"/>
            </w14:solidFill>
          </w14:textFill>
        </w:rPr>
      </w:pPr>
      <w:r>
        <w:rPr>
          <w:rFonts w:hint="eastAsia" w:ascii="仿宋" w:hAnsi="仿宋" w:cs="仿宋"/>
          <w:color w:val="000000" w:themeColor="text1"/>
          <w:spacing w:val="-6"/>
          <w:sz w:val="32"/>
          <w:szCs w:val="32"/>
          <w14:textFill>
            <w14:solidFill>
              <w14:schemeClr w14:val="tx1"/>
            </w14:solidFill>
          </w14:textFill>
        </w:rPr>
        <w:t>通过纪实短片或微电影形式，用英文讲述发生在安徽的人物或事件。既可聚焦普通个体的成长奋斗，亦可深入挖掘安徽的历史建筑、民间技艺、人文风貌等，展现安徽的深厚底蕴和时代活力。</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楷体" w:hAnsi="楷体" w:eastAsia="楷体" w:cs="楷体"/>
          <w:bCs/>
          <w:sz w:val="32"/>
          <w:szCs w:val="32"/>
        </w:rPr>
        <w:t>（二）安徽臻品</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仿宋" w:hAnsi="仿宋" w:cs="仿宋"/>
          <w:color w:val="000000" w:themeColor="text1"/>
          <w:sz w:val="32"/>
          <w:szCs w:val="32"/>
          <w14:textFill>
            <w14:solidFill>
              <w14:schemeClr w14:val="tx1"/>
            </w14:solidFill>
          </w14:textFill>
        </w:rPr>
        <w:t>选择具有安徽代表性的特色商品（如宣纸、徽墨、祁门红茶、芜湖铁画等），借助实物或图像，从历史渊源、制作工艺、使用场景等方面进行英文解说，向世界推介其文化内涵与当代价值。</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楷体" w:hAnsi="楷体" w:eastAsia="楷体" w:cs="楷体"/>
          <w:bCs/>
          <w:sz w:val="32"/>
          <w:szCs w:val="32"/>
        </w:rPr>
        <w:t>（三）安徽韵律</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仿宋" w:hAnsi="仿宋" w:cs="仿宋"/>
          <w:color w:val="000000" w:themeColor="text1"/>
          <w:sz w:val="32"/>
          <w:szCs w:val="32"/>
          <w14:textFill>
            <w14:solidFill>
              <w14:schemeClr w14:val="tx1"/>
            </w14:solidFill>
          </w14:textFill>
        </w:rPr>
        <w:t>选取与安徽相关的经典文学作品或经典中文歌曲的英文译本进行演唱，可结合传统服饰、乐器、舞蹈等文化元素进行演绎，促进中外听众的情感共鸣。</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楷体" w:hAnsi="楷体" w:eastAsia="楷体" w:cs="楷体"/>
          <w:bCs/>
          <w:sz w:val="32"/>
          <w:szCs w:val="32"/>
        </w:rPr>
        <w:t>（四）影视配音</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仿宋" w:hAnsi="仿宋" w:cs="仿宋"/>
          <w:color w:val="000000" w:themeColor="text1"/>
          <w:sz w:val="32"/>
          <w:szCs w:val="32"/>
          <w14:textFill>
            <w14:solidFill>
              <w14:schemeClr w14:val="tx1"/>
            </w14:solidFill>
          </w14:textFill>
        </w:rPr>
        <w:t>选取与传播中国文化有关的纪录片或影视作品进行英文配音。画面应为影视原片或团队现场表演实况，音频应为参与选手本人（团队）配音，不得使用AI配音或利用技术手段对音频进行加速。可分段剪辑或切换镜头，但必须保持内容连贯性。</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黑体" w:hAnsi="黑体" w:eastAsia="黑体" w:cs="黑体"/>
          <w:bCs/>
          <w:color w:val="000000"/>
          <w:sz w:val="32"/>
          <w:szCs w:val="32"/>
        </w:rPr>
        <w:t>五、作品要求</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仿宋" w:hAnsi="仿宋" w:cs="仿宋"/>
          <w:color w:val="000000" w:themeColor="text1"/>
          <w:sz w:val="32"/>
          <w:szCs w:val="32"/>
          <w14:textFill>
            <w14:solidFill>
              <w14:schemeClr w14:val="tx1"/>
            </w14:solidFill>
          </w14:textFill>
        </w:rPr>
        <w:t>1.作品时长建议3分钟左右，最长不超过6分钟。</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仿宋" w:hAnsi="仿宋" w:cs="仿宋"/>
          <w:color w:val="000000" w:themeColor="text1"/>
          <w:sz w:val="32"/>
          <w:szCs w:val="32"/>
          <w14:textFill>
            <w14:solidFill>
              <w14:schemeClr w14:val="tx1"/>
            </w14:solidFill>
          </w14:textFill>
        </w:rPr>
        <w:t>2.视频要求统一为MP4格式，1920*1080横屏尺寸（即智能手机原相机或摄像机常见标准尺寸），视频大小不超过800M。画面连贯，录音清晰，无明显杂音和其他干扰。</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仿宋" w:hAnsi="仿宋" w:cs="仿宋"/>
          <w:color w:val="000000" w:themeColor="text1"/>
          <w:sz w:val="32"/>
          <w:szCs w:val="32"/>
          <w14:textFill>
            <w14:solidFill>
              <w14:schemeClr w14:val="tx1"/>
            </w14:solidFill>
          </w14:textFill>
        </w:rPr>
        <w:t>3.参赛作品仅允许使用AI作为工具进行辅助性工作（如文案润色、视频剪辑等），不得利用AI直接整体生成音频或画面。如由此产生任何争议，相关法律责任均由参与者本人承担。</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color w:val="000000" w:themeColor="text1"/>
          <w:sz w:val="32"/>
          <w:szCs w:val="32"/>
          <w14:textFill>
            <w14:solidFill>
              <w14:schemeClr w14:val="tx1"/>
            </w14:solidFill>
          </w14:textFill>
        </w:rPr>
      </w:pPr>
      <w:r>
        <w:rPr>
          <w:rFonts w:hint="eastAsia" w:ascii="仿宋" w:hAnsi="仿宋" w:cs="仿宋"/>
          <w:color w:val="000000" w:themeColor="text1"/>
          <w:sz w:val="32"/>
          <w:szCs w:val="32"/>
          <w14:textFill>
            <w14:solidFill>
              <w14:schemeClr w14:val="tx1"/>
            </w14:solidFill>
          </w14:textFill>
        </w:rPr>
        <w:t>4.参与投稿即同意授权投稿至第二届“推荐官”中国文化国际传播技能大赛，优秀作品有机会获得晋级全国赛直通特权。</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黑体" w:hAnsi="黑体" w:eastAsia="黑体" w:cs="黑体"/>
          <w:bCs/>
          <w:color w:val="000000"/>
          <w:sz w:val="32"/>
          <w:szCs w:val="32"/>
        </w:rPr>
        <w:t>六、活动流程</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楷体" w:hAnsi="楷体" w:eastAsia="楷体" w:cs="楷体"/>
          <w:bCs/>
          <w:color w:val="000000"/>
          <w:sz w:val="32"/>
          <w:szCs w:val="32"/>
        </w:rPr>
      </w:pPr>
      <w:r>
        <w:rPr>
          <w:rFonts w:hint="eastAsia" w:ascii="楷体" w:hAnsi="楷体" w:eastAsia="楷体" w:cs="楷体"/>
          <w:bCs/>
          <w:sz w:val="32"/>
          <w:szCs w:val="32"/>
        </w:rPr>
        <w:t>（一）组织单位</w:t>
      </w:r>
      <w:r>
        <w:rPr>
          <w:rFonts w:hint="eastAsia" w:ascii="楷体" w:hAnsi="楷体" w:eastAsia="楷体" w:cs="楷体"/>
          <w:sz w:val="32"/>
          <w:szCs w:val="32"/>
        </w:rPr>
        <w:t>报名</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sz w:val="32"/>
          <w:szCs w:val="32"/>
        </w:rPr>
      </w:pPr>
      <w:r>
        <w:rPr>
          <w:rFonts w:hint="eastAsia" w:ascii="仿宋" w:hAnsi="仿宋" w:cs="仿宋"/>
          <w:sz w:val="32"/>
          <w:szCs w:val="32"/>
        </w:rPr>
        <w:t>即日起至2026年11月15日，有意向参与活动的图书馆，由本馆工作人员通过活动平台“MET世界语言学习馆”（https://www.52met.com/）-“赛事活动”专区进入大赛官网，点击“组织单位报名”成为组织单位，获得机构管理后台权限。</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sz w:val="32"/>
          <w:szCs w:val="32"/>
        </w:rPr>
      </w:pPr>
      <w:r>
        <w:rPr>
          <w:rFonts w:hint="eastAsia" w:ascii="楷体" w:hAnsi="楷体" w:eastAsia="楷体" w:cs="楷体"/>
          <w:bCs/>
          <w:sz w:val="32"/>
          <w:szCs w:val="32"/>
        </w:rPr>
        <w:t>（二）选手报名投稿</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sz w:val="32"/>
          <w:szCs w:val="32"/>
        </w:rPr>
        <w:t>2026年11月15日前，选手</w:t>
      </w:r>
      <w:r>
        <w:rPr>
          <w:rFonts w:hint="eastAsia" w:ascii="仿宋" w:hAnsi="仿宋" w:cs="仿宋"/>
          <w:bCs/>
          <w:color w:val="000000"/>
          <w:sz w:val="32"/>
          <w:szCs w:val="32"/>
        </w:rPr>
        <w:t>使用电脑端/手机端浏览器，通过</w:t>
      </w:r>
      <w:r>
        <w:rPr>
          <w:rFonts w:hint="eastAsia" w:ascii="仿宋" w:hAnsi="仿宋" w:cs="仿宋"/>
          <w:sz w:val="32"/>
          <w:szCs w:val="32"/>
        </w:rPr>
        <w:t>活动平台“MET世界语言学习馆”—“赛事活动”专区进入活动官网，点击“选手报名”，填写真实参赛信息，包括成员姓名、联系方式等。</w:t>
      </w:r>
      <w:r>
        <w:rPr>
          <w:rFonts w:hint="eastAsia" w:ascii="仿宋" w:hAnsi="仿宋" w:cs="仿宋"/>
          <w:bCs/>
          <w:color w:val="000000"/>
          <w:sz w:val="32"/>
          <w:szCs w:val="32"/>
        </w:rPr>
        <w:t>报名成功后，自行创作英文视频作品，通过活动官网“作品上传”进行提交。</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sz w:val="32"/>
          <w:szCs w:val="32"/>
        </w:rPr>
        <w:t>单人参赛应确保选手本人报名、展演并提交作品。组队参赛限同校师生，由其中1位代表报名并上传作品。</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cs="仿宋"/>
          <w:bCs/>
          <w:sz w:val="32"/>
          <w:szCs w:val="32"/>
        </w:rPr>
      </w:pPr>
      <w:r>
        <w:rPr>
          <w:rFonts w:hint="eastAsia" w:ascii="楷体" w:hAnsi="楷体" w:eastAsia="楷体" w:cs="楷体"/>
          <w:bCs/>
          <w:sz w:val="32"/>
          <w:szCs w:val="32"/>
        </w:rPr>
        <w:t>（三）组织单位推选</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2026年11月下旬，以图书馆为单位，各单位负责人通过机构管理后台在线操作，进行优秀作品推选，每个单位按投稿数量20%的比例推选（5件以内推选1件；推选数量上限为20件）进入专家评审。</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楷体" w:hAnsi="楷体" w:eastAsia="楷体" w:cs="楷体"/>
          <w:bCs/>
          <w:sz w:val="32"/>
          <w:szCs w:val="32"/>
        </w:rPr>
        <w:t>（四）专家评审</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sz w:val="32"/>
          <w:szCs w:val="32"/>
        </w:rPr>
      </w:pPr>
      <w:r>
        <w:rPr>
          <w:rFonts w:hint="eastAsia" w:ascii="仿宋" w:hAnsi="仿宋" w:cs="仿宋"/>
          <w:bCs/>
          <w:color w:val="000000"/>
          <w:sz w:val="32"/>
          <w:szCs w:val="32"/>
        </w:rPr>
        <w:t>2026年12月上旬，组织专家对各图书馆推选的优秀作品分组别进行评审，按照投稿数量比例，本研组得分最高的前12组、高职高专组得分最高的前6组参赛队伍进入现场总决赛。</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楷体" w:cs="仿宋"/>
          <w:bCs/>
          <w:sz w:val="32"/>
          <w:szCs w:val="32"/>
        </w:rPr>
      </w:pPr>
      <w:r>
        <w:rPr>
          <w:rFonts w:hint="eastAsia" w:ascii="楷体" w:hAnsi="楷体" w:eastAsia="楷体" w:cs="楷体"/>
          <w:bCs/>
          <w:sz w:val="32"/>
          <w:szCs w:val="32"/>
        </w:rPr>
        <w:t xml:space="preserve">（五）现场总决赛  </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采用现场竞赛的方式，晋级队伍按提交作品的内容分别进行现场展演，由专家现场评分决出奖项，时间、地点和具体规则另行通知。</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七、奖项设置</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楷体" w:cs="仿宋"/>
          <w:kern w:val="0"/>
          <w:sz w:val="32"/>
          <w:szCs w:val="32"/>
        </w:rPr>
      </w:pPr>
      <w:r>
        <w:rPr>
          <w:rFonts w:hint="eastAsia" w:ascii="楷体" w:hAnsi="楷体" w:eastAsia="楷体" w:cs="楷体"/>
          <w:bCs/>
          <w:sz w:val="32"/>
          <w:szCs w:val="32"/>
        </w:rPr>
        <w:t>（一）本研组（含本科生与研究生）</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 xml:space="preserve">一等奖：2组，1000元奖学金+荣誉证书 </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 xml:space="preserve">二等奖：4组，800元奖学金+荣誉证书 </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三等奖：6组，500元奖学金+荣誉证书</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楷体" w:hAnsi="楷体" w:eastAsia="楷体" w:cs="楷体"/>
          <w:bCs/>
          <w:sz w:val="32"/>
          <w:szCs w:val="32"/>
        </w:rPr>
      </w:pPr>
      <w:r>
        <w:rPr>
          <w:rFonts w:hint="eastAsia" w:ascii="仿宋" w:hAnsi="仿宋" w:cs="仿宋"/>
          <w:bCs/>
          <w:color w:val="000000"/>
          <w:sz w:val="32"/>
          <w:szCs w:val="32"/>
        </w:rPr>
        <w:t>优秀奖：50组，文创纪念品+荣誉证书</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kern w:val="0"/>
          <w:sz w:val="32"/>
          <w:szCs w:val="32"/>
        </w:rPr>
      </w:pPr>
      <w:r>
        <w:rPr>
          <w:rFonts w:hint="eastAsia" w:ascii="楷体" w:hAnsi="楷体" w:eastAsia="楷体" w:cs="楷体"/>
          <w:bCs/>
          <w:sz w:val="32"/>
          <w:szCs w:val="32"/>
        </w:rPr>
        <w:t>（二）高职高专组</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 xml:space="preserve">一等奖：1组，1000元奖学金+荣誉证书 </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 xml:space="preserve">二等奖：2组，800元奖学金+荣誉证书 </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三等奖：3组，500元奖学金+荣誉证书</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优秀奖：50组，文创纪念品+荣誉证书</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color w:val="000000"/>
          <w:kern w:val="0"/>
          <w:sz w:val="32"/>
          <w:szCs w:val="32"/>
          <w:lang w:bidi="ar"/>
        </w:rPr>
      </w:pPr>
      <w:r>
        <w:rPr>
          <w:rFonts w:hint="eastAsia" w:ascii="仿宋" w:hAnsi="仿宋" w:cs="仿宋"/>
          <w:bCs/>
          <w:color w:val="000000"/>
          <w:sz w:val="32"/>
          <w:szCs w:val="32"/>
        </w:rPr>
        <w:t>备注：</w:t>
      </w:r>
      <w:r>
        <w:rPr>
          <w:rFonts w:hint="eastAsia" w:ascii="仿宋" w:hAnsi="仿宋" w:cs="仿宋"/>
          <w:color w:val="000000"/>
          <w:kern w:val="0"/>
          <w:sz w:val="32"/>
          <w:szCs w:val="32"/>
          <w:lang w:bidi="ar"/>
        </w:rPr>
        <w:t>本研组和高职高专组所有学生获奖证书上将附有指导教师姓名(指导教师每组不能超过1名)。</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color w:val="000000"/>
          <w:kern w:val="0"/>
          <w:sz w:val="32"/>
          <w:szCs w:val="32"/>
          <w:lang w:bidi="ar"/>
        </w:rPr>
      </w:pPr>
      <w:r>
        <w:rPr>
          <w:rFonts w:hint="eastAsia" w:ascii="仿宋" w:hAnsi="仿宋" w:cs="仿宋"/>
          <w:bCs/>
          <w:color w:val="000000"/>
          <w:sz w:val="32"/>
          <w:szCs w:val="32"/>
        </w:rPr>
        <w:t>以上所列均为税前奖金，按照获奖队伍整队进行奖励。</w:t>
      </w:r>
      <w:r>
        <w:rPr>
          <w:rFonts w:hint="eastAsia" w:ascii="仿宋" w:hAnsi="仿宋" w:cs="仿宋"/>
          <w:color w:val="000000"/>
          <w:kern w:val="0"/>
          <w:sz w:val="32"/>
          <w:szCs w:val="32"/>
          <w:lang w:bidi="ar"/>
        </w:rPr>
        <w:t>为保证赛事的公平性及作品质量，组委会保留根据实际投稿数量对奖项数量适度增减的权利，如奖项空缺、奖项增额等。</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kern w:val="0"/>
          <w:sz w:val="32"/>
          <w:szCs w:val="32"/>
        </w:rPr>
      </w:pPr>
      <w:r>
        <w:rPr>
          <w:rFonts w:hint="eastAsia" w:ascii="楷体" w:hAnsi="楷体" w:eastAsia="楷体" w:cs="楷体"/>
          <w:bCs/>
          <w:sz w:val="32"/>
          <w:szCs w:val="32"/>
        </w:rPr>
        <w:t>（三）其他奖项</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优秀组织单位：≤30个，奖牌+荣誉证书</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优秀组织个人：≤90名，文创纪念品+荣誉证书</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黑体" w:hAnsi="黑体" w:eastAsia="黑体" w:cs="黑体"/>
          <w:bCs/>
          <w:color w:val="000000"/>
          <w:sz w:val="32"/>
          <w:szCs w:val="32"/>
        </w:rPr>
      </w:pPr>
      <w:r>
        <w:rPr>
          <w:rFonts w:hint="eastAsia" w:ascii="仿宋" w:hAnsi="仿宋" w:cs="仿宋"/>
          <w:bCs/>
          <w:color w:val="000000"/>
          <w:sz w:val="32"/>
          <w:szCs w:val="32"/>
        </w:rPr>
        <w:t>优秀组织社团：≤10个，奖牌+荣誉证书</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bCs/>
          <w:color w:val="000000"/>
          <w:sz w:val="32"/>
          <w:szCs w:val="32"/>
        </w:rPr>
      </w:pPr>
      <w:r>
        <w:rPr>
          <w:rFonts w:hint="eastAsia" w:ascii="黑体" w:hAnsi="黑体" w:eastAsia="黑体" w:cs="黑体"/>
          <w:bCs/>
          <w:color w:val="000000"/>
          <w:sz w:val="32"/>
          <w:szCs w:val="32"/>
        </w:rPr>
        <w:t>八、奖项说明</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color w:val="000000"/>
          <w:sz w:val="32"/>
          <w:szCs w:val="32"/>
        </w:rPr>
      </w:pPr>
      <w:r>
        <w:rPr>
          <w:rFonts w:hint="eastAsia" w:ascii="仿宋" w:hAnsi="仿宋" w:cs="仿宋"/>
          <w:bCs/>
          <w:color w:val="000000"/>
          <w:sz w:val="32"/>
          <w:szCs w:val="32"/>
        </w:rPr>
        <w:t>1.一等奖、二等奖、三等奖：</w:t>
      </w:r>
      <w:r>
        <w:rPr>
          <w:rFonts w:hint="eastAsia" w:ascii="仿宋" w:hAnsi="仿宋" w:cs="仿宋"/>
          <w:bCs/>
          <w:sz w:val="32"/>
          <w:szCs w:val="32"/>
        </w:rPr>
        <w:t>专家评委通过“现场总决赛”对各参赛队伍评分决出；</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sz w:val="32"/>
          <w:szCs w:val="32"/>
        </w:rPr>
      </w:pPr>
      <w:r>
        <w:rPr>
          <w:rFonts w:hint="eastAsia" w:ascii="仿宋" w:hAnsi="仿宋" w:cs="仿宋"/>
          <w:bCs/>
          <w:color w:val="000000"/>
          <w:sz w:val="32"/>
          <w:szCs w:val="32"/>
        </w:rPr>
        <w:t>2.优秀奖：在专家评审中排名前50的队伍</w:t>
      </w:r>
      <w:r>
        <w:rPr>
          <w:rFonts w:hint="eastAsia" w:ascii="仿宋" w:hAnsi="仿宋" w:cs="仿宋"/>
          <w:bCs/>
          <w:sz w:val="32"/>
          <w:szCs w:val="32"/>
        </w:rPr>
        <w:t>（晋级</w:t>
      </w:r>
      <w:r>
        <w:rPr>
          <w:rFonts w:hint="eastAsia" w:ascii="仿宋" w:hAnsi="仿宋" w:cs="仿宋"/>
          <w:bCs/>
          <w:color w:val="000000"/>
          <w:sz w:val="32"/>
          <w:szCs w:val="32"/>
        </w:rPr>
        <w:t>“现场总决赛”队伍除外</w:t>
      </w:r>
      <w:r>
        <w:rPr>
          <w:rFonts w:hint="eastAsia" w:ascii="仿宋" w:hAnsi="仿宋" w:cs="仿宋"/>
          <w:bCs/>
          <w:sz w:val="32"/>
          <w:szCs w:val="32"/>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sz w:val="32"/>
          <w:szCs w:val="32"/>
        </w:rPr>
      </w:pPr>
      <w:r>
        <w:rPr>
          <w:rFonts w:hint="eastAsia" w:ascii="仿宋" w:hAnsi="仿宋" w:cs="仿宋"/>
          <w:bCs/>
          <w:color w:val="000000"/>
          <w:sz w:val="32"/>
          <w:szCs w:val="32"/>
        </w:rPr>
        <w:t>3.优秀组织单位：</w:t>
      </w:r>
      <w:r>
        <w:rPr>
          <w:rFonts w:hint="eastAsia" w:ascii="仿宋" w:hAnsi="仿宋" w:cs="仿宋"/>
          <w:bCs/>
          <w:sz w:val="32"/>
          <w:szCs w:val="32"/>
        </w:rPr>
        <w:t>按各参赛单位有效提交作品总量排序，两</w:t>
      </w:r>
      <w:r>
        <w:rPr>
          <w:rFonts w:hint="eastAsia" w:ascii="仿宋" w:hAnsi="仿宋" w:cs="仿宋"/>
          <w:bCs/>
          <w:color w:val="000000"/>
          <w:sz w:val="32"/>
          <w:szCs w:val="32"/>
        </w:rPr>
        <w:t>个组别分别</w:t>
      </w:r>
      <w:r>
        <w:rPr>
          <w:rFonts w:hint="eastAsia" w:ascii="仿宋" w:hAnsi="仿宋" w:cs="仿宋"/>
          <w:bCs/>
          <w:sz w:val="32"/>
          <w:szCs w:val="32"/>
        </w:rPr>
        <w:t>取总量排名前 30% 的学校授予优秀组织单位奖；</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sz w:val="32"/>
          <w:szCs w:val="32"/>
        </w:rPr>
      </w:pPr>
      <w:r>
        <w:rPr>
          <w:rFonts w:hint="eastAsia" w:ascii="仿宋" w:hAnsi="仿宋" w:cs="仿宋"/>
          <w:bCs/>
          <w:sz w:val="32"/>
          <w:szCs w:val="32"/>
        </w:rPr>
        <w:t>4.</w:t>
      </w:r>
      <w:r>
        <w:rPr>
          <w:rFonts w:hint="eastAsia" w:ascii="仿宋" w:hAnsi="仿宋" w:cs="仿宋"/>
          <w:bCs/>
          <w:color w:val="000000"/>
          <w:sz w:val="32"/>
          <w:szCs w:val="32"/>
        </w:rPr>
        <w:t>优秀组织个人：在获得“优秀组织单位”的机构中，</w:t>
      </w:r>
      <w:r>
        <w:rPr>
          <w:rFonts w:hint="eastAsia" w:ascii="仿宋" w:hAnsi="仿宋" w:cs="仿宋"/>
          <w:bCs/>
          <w:sz w:val="32"/>
          <w:szCs w:val="32"/>
        </w:rPr>
        <w:t>有参与此大赛组织工作的图书馆/院系老师，每个机构不超过3人。</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cs="仿宋"/>
          <w:bCs/>
          <w:sz w:val="32"/>
          <w:szCs w:val="32"/>
        </w:rPr>
      </w:pPr>
      <w:r>
        <w:rPr>
          <w:rFonts w:hint="eastAsia" w:ascii="仿宋" w:hAnsi="仿宋" w:cs="仿宋"/>
          <w:bCs/>
          <w:sz w:val="32"/>
          <w:szCs w:val="32"/>
        </w:rPr>
        <w:t>5.优秀组织社团：在本次活动宣传工作中有突出贡献的学生社团均可申请，此奖项评选须由图书馆或学生社团根据要求填表申报，提供社团积极推广宣传本次活动的佐证材料，如推广照片、推文截图、QQ或微信群组织情况、推广成果描述等，由活动组委会评定。</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bCs/>
          <w:color w:val="000000"/>
          <w:sz w:val="32"/>
          <w:szCs w:val="32"/>
        </w:rPr>
      </w:pPr>
      <w:r>
        <w:rPr>
          <w:rFonts w:hint="eastAsia" w:ascii="黑体" w:hAnsi="黑体" w:eastAsia="黑体" w:cs="黑体"/>
          <w:bCs/>
          <w:color w:val="000000"/>
          <w:sz w:val="32"/>
          <w:szCs w:val="32"/>
        </w:rPr>
        <w:t>九、联系方式</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Style w:val="10"/>
          <w:rFonts w:hint="eastAsia" w:ascii="仿宋" w:hAnsi="仿宋" w:cs="仿宋"/>
          <w:sz w:val="32"/>
          <w:szCs w:val="32"/>
        </w:rPr>
      </w:pPr>
      <w:r>
        <w:rPr>
          <w:rFonts w:hint="eastAsia" w:ascii="仿宋" w:hAnsi="仿宋" w:cs="仿宋"/>
          <w:sz w:val="32"/>
          <w:szCs w:val="32"/>
        </w:rPr>
        <w:t>活动官网：</w:t>
      </w:r>
      <w:bookmarkStart w:id="1" w:name="OLE_LINK1"/>
      <w:r>
        <w:rPr>
          <w:rFonts w:hint="eastAsia" w:ascii="仿宋" w:hAnsi="仿宋" w:cs="仿宋"/>
          <w:sz w:val="32"/>
          <w:szCs w:val="32"/>
        </w:rPr>
        <w:t>https://www.52met.com/act/ah2026</w:t>
      </w:r>
      <w:bookmarkEnd w:id="1"/>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rPr>
      </w:pPr>
      <w:r>
        <w:rPr>
          <w:rFonts w:hint="eastAsia" w:ascii="仿宋" w:hAnsi="仿宋" w:cs="仿宋"/>
          <w:color w:val="000000"/>
          <w:sz w:val="32"/>
          <w:szCs w:val="32"/>
        </w:rPr>
        <w:t>咨询电话：400-881-6535</w:t>
      </w:r>
      <w:r>
        <w:rPr>
          <w:rFonts w:hint="eastAsia" w:ascii="仿宋" w:hAnsi="仿宋" w:cs="仿宋"/>
          <w:sz w:val="32"/>
          <w:szCs w:val="32"/>
        </w:rPr>
        <w:t xml:space="preserve">  </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rPr>
      </w:pPr>
      <w:r>
        <w:rPr>
          <w:rFonts w:hint="eastAsia" w:ascii="仿宋" w:hAnsi="仿宋" w:cs="仿宋"/>
          <w:sz w:val="32"/>
          <w:szCs w:val="32"/>
        </w:rPr>
        <w:t>组织单位沟通QQ群: 650947415</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rPr>
      </w:pPr>
      <w:r>
        <w:rPr>
          <w:rFonts w:hint="eastAsia" w:ascii="仿宋" w:hAnsi="仿宋" w:cs="仿宋"/>
          <w:sz w:val="32"/>
          <w:szCs w:val="32"/>
        </w:rPr>
        <w:t>参赛选手沟通QQ群: 562843724</w:t>
      </w:r>
    </w:p>
    <w:p>
      <w:pPr>
        <w:keepNext w:val="0"/>
        <w:keepLines w:val="0"/>
        <w:pageBreakBefore w:val="0"/>
        <w:kinsoku/>
        <w:wordWrap/>
        <w:overflowPunct/>
        <w:topLinePunct w:val="0"/>
        <w:autoSpaceDE/>
        <w:autoSpaceDN/>
        <w:bidi w:val="0"/>
        <w:snapToGrid w:val="0"/>
        <w:spacing w:line="560" w:lineRule="exact"/>
        <w:ind w:firstLine="640" w:firstLineChars="200"/>
        <w:jc w:val="left"/>
        <w:textAlignment w:val="auto"/>
        <w:rPr>
          <w:rFonts w:hint="eastAsia" w:ascii="仿宋" w:hAnsi="仿宋" w:cs="仿宋"/>
          <w:sz w:val="32"/>
          <w:szCs w:val="32"/>
        </w:rPr>
      </w:pPr>
    </w:p>
    <w:p>
      <w:pPr>
        <w:spacing w:line="500" w:lineRule="exact"/>
        <w:jc w:val="left"/>
        <w:rPr>
          <w:rFonts w:hint="eastAsia" w:ascii="仿宋" w:hAnsi="仿宋" w:cs="仿宋"/>
          <w:sz w:val="28"/>
          <w:szCs w:val="28"/>
        </w:rPr>
      </w:pPr>
    </w:p>
    <w:p>
      <w:pPr>
        <w:widowControl/>
        <w:spacing w:line="500" w:lineRule="exact"/>
        <w:jc w:val="right"/>
        <w:rPr>
          <w:rFonts w:ascii="方正仿宋_GBK" w:hAnsi="方正仿宋_GBK" w:cs="方正仿宋_GBK"/>
          <w:bCs/>
          <w:color w:val="000000"/>
          <w:sz w:val="32"/>
          <w:szCs w:val="32"/>
        </w:rPr>
      </w:pPr>
      <w:r>
        <w:rPr>
          <w:rFonts w:hint="eastAsia" w:ascii="方正仿宋_GBK" w:hAnsi="方正仿宋_GBK" w:cs="方正仿宋_GBK"/>
          <w:bCs/>
          <w:color w:val="000000"/>
          <w:sz w:val="32"/>
          <w:szCs w:val="32"/>
        </w:rPr>
        <w:t>安徽省高等学校图书情报工作委员会</w:t>
      </w:r>
    </w:p>
    <w:tbl>
      <w:tblPr>
        <w:tblStyle w:val="6"/>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0"/>
        <w:gridCol w:w="4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4810" w:type="dxa"/>
            <w:tcBorders>
              <w:top w:val="nil"/>
              <w:left w:val="nil"/>
              <w:bottom w:val="nil"/>
              <w:right w:val="nil"/>
            </w:tcBorders>
            <w:vAlign w:val="center"/>
          </w:tcPr>
          <w:p>
            <w:pPr>
              <w:widowControl/>
              <w:spacing w:line="500" w:lineRule="exact"/>
              <w:rPr>
                <w:rFonts w:hint="eastAsia" w:ascii="方正仿宋_GBK" w:hAnsi="方正仿宋_GBK" w:eastAsia="方正仿宋_GBK" w:cs="方正仿宋_GBK"/>
                <w:bCs/>
                <w:color w:val="000000"/>
                <w:sz w:val="28"/>
                <w:szCs w:val="28"/>
              </w:rPr>
            </w:pPr>
          </w:p>
        </w:tc>
        <w:tc>
          <w:tcPr>
            <w:tcW w:w="4469" w:type="dxa"/>
            <w:tcBorders>
              <w:top w:val="nil"/>
              <w:left w:val="nil"/>
              <w:bottom w:val="nil"/>
              <w:right w:val="nil"/>
            </w:tcBorders>
            <w:vAlign w:val="center"/>
          </w:tcPr>
          <w:p>
            <w:pPr>
              <w:widowControl/>
              <w:spacing w:line="500" w:lineRule="exact"/>
              <w:rPr>
                <w:rFonts w:hint="eastAsia" w:ascii="方正仿宋_GBK" w:hAnsi="方正仿宋_GBK" w:cs="方正仿宋_GBK"/>
                <w:bCs/>
                <w:color w:val="000000"/>
                <w:sz w:val="28"/>
                <w:szCs w:val="28"/>
              </w:rPr>
            </w:pPr>
            <w:r>
              <w:rPr>
                <w:rFonts w:hint="eastAsia" w:ascii="方正仿宋_GBK" w:hAnsi="方正仿宋_GBK" w:cs="方正仿宋_GBK"/>
                <w:bCs/>
                <w:color w:val="000000"/>
                <w:sz w:val="32"/>
                <w:szCs w:val="32"/>
              </w:rPr>
              <w:t>安徽省高等学校数字图书馆</w:t>
            </w:r>
          </w:p>
        </w:tc>
      </w:tr>
    </w:tbl>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ascii="Times New Roman" w:hAnsi="Times New Roman"/>
          <w:bCs/>
          <w:spacing w:val="-6"/>
          <w:sz w:val="28"/>
          <w:szCs w:val="28"/>
        </w:rPr>
      </w:pPr>
      <w:r>
        <w:rPr>
          <w:rFonts w:hint="eastAsia" w:ascii="Times New Roman" w:hAnsi="Times New Roman"/>
          <w:bCs/>
          <w:spacing w:val="-6"/>
          <w:sz w:val="28"/>
          <w:szCs w:val="28"/>
        </w:rPr>
        <w:t xml:space="preserve">                      </w:t>
      </w:r>
      <w:r>
        <w:rPr>
          <w:rFonts w:hint="eastAsia" w:ascii="Times New Roman" w:hAnsi="Times New Roman"/>
          <w:bCs/>
          <w:spacing w:val="-6"/>
          <w:sz w:val="28"/>
          <w:szCs w:val="28"/>
          <w:lang w:val="en-US" w:eastAsia="zh-CN"/>
        </w:rPr>
        <w:t xml:space="preserve">           </w:t>
      </w:r>
      <w:r>
        <w:rPr>
          <w:rFonts w:hint="eastAsia" w:ascii="Times New Roman" w:hAnsi="Times New Roman"/>
          <w:bCs/>
          <w:spacing w:val="-6"/>
          <w:sz w:val="28"/>
          <w:szCs w:val="28"/>
        </w:rPr>
        <w:t xml:space="preserve">  </w:t>
      </w:r>
      <w:r>
        <w:rPr>
          <w:rFonts w:ascii="Times New Roman" w:hAnsi="Times New Roman"/>
          <w:bCs/>
          <w:spacing w:val="-6"/>
          <w:sz w:val="32"/>
          <w:szCs w:val="32"/>
        </w:rPr>
        <w:t>202</w:t>
      </w:r>
      <w:r>
        <w:rPr>
          <w:rFonts w:hint="eastAsia" w:ascii="Times New Roman" w:hAnsi="Times New Roman"/>
          <w:bCs/>
          <w:spacing w:val="-6"/>
          <w:sz w:val="32"/>
          <w:szCs w:val="32"/>
        </w:rPr>
        <w:t>6</w:t>
      </w:r>
      <w:r>
        <w:rPr>
          <w:rFonts w:ascii="Times New Roman" w:hAnsi="Times New Roman"/>
          <w:bCs/>
          <w:spacing w:val="-6"/>
          <w:sz w:val="32"/>
          <w:szCs w:val="32"/>
        </w:rPr>
        <w:t>年</w:t>
      </w:r>
      <w:r>
        <w:rPr>
          <w:rFonts w:hint="eastAsia" w:ascii="Times New Roman" w:hAnsi="Times New Roman"/>
          <w:bCs/>
          <w:spacing w:val="-6"/>
          <w:sz w:val="32"/>
          <w:szCs w:val="32"/>
        </w:rPr>
        <w:t>9</w:t>
      </w:r>
      <w:r>
        <w:rPr>
          <w:rFonts w:ascii="Times New Roman" w:hAnsi="Times New Roman"/>
          <w:bCs/>
          <w:spacing w:val="-6"/>
          <w:sz w:val="32"/>
          <w:szCs w:val="32"/>
        </w:rPr>
        <w:t>月</w:t>
      </w:r>
      <w:r>
        <w:rPr>
          <w:rFonts w:hint="eastAsia" w:ascii="Times New Roman" w:hAnsi="Times New Roman"/>
          <w:bCs/>
          <w:spacing w:val="-6"/>
          <w:sz w:val="32"/>
          <w:szCs w:val="32"/>
        </w:rPr>
        <w:t>4</w:t>
      </w:r>
      <w:r>
        <w:rPr>
          <w:rFonts w:ascii="Times New Roman" w:hAnsi="Times New Roman"/>
          <w:bCs/>
          <w:spacing w:val="-6"/>
          <w:sz w:val="32"/>
          <w:szCs w:val="32"/>
        </w:rPr>
        <w:t>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AEA889-58CC-430A-BB38-B52E9B5416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7006152C-776A-47EC-B081-E6813BFB2DFA}"/>
  </w:font>
  <w:font w:name="励字小标宋简">
    <w:panose1 w:val="02010604000000000000"/>
    <w:charset w:val="86"/>
    <w:family w:val="auto"/>
    <w:pitch w:val="default"/>
    <w:sig w:usb0="00000003" w:usb1="080E0000" w:usb2="00000000" w:usb3="00000000" w:csb0="00040001" w:csb1="00000000"/>
    <w:embedRegular r:id="rId3" w:fontKey="{C7C87671-0A25-479D-91B1-2A11B3DCB5FF}"/>
  </w:font>
  <w:font w:name="楷体">
    <w:panose1 w:val="02010609060101010101"/>
    <w:charset w:val="86"/>
    <w:family w:val="modern"/>
    <w:pitch w:val="default"/>
    <w:sig w:usb0="800002BF" w:usb1="38CF7CFA" w:usb2="00000016" w:usb3="00000000" w:csb0="00040001" w:csb1="00000000"/>
    <w:embedRegular r:id="rId4" w:fontKey="{F138D39D-EB30-4A22-B514-6BF4368AB086}"/>
  </w:font>
  <w:font w:name="方正仿宋_GBK">
    <w:panose1 w:val="03000509000000000000"/>
    <w:charset w:val="86"/>
    <w:family w:val="auto"/>
    <w:pitch w:val="default"/>
    <w:sig w:usb0="00000001" w:usb1="080E0000" w:usb2="00000000" w:usb3="00000000" w:csb0="00040000" w:csb1="00000000"/>
    <w:embedRegular r:id="rId5" w:fontKey="{A6E8F66F-0204-4A48-91DB-87272C8B0F4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E0000" w:usb2="00000000" w:usb3="00000000" w:csb0="00040000" w:csb1="00000000"/>
    <w:embedRegular r:id="rId6" w:fontKey="{A380499A-99A0-4562-829D-C1544F9877F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4NzVhNjJiMjRhNWFiNTIwOWY3Y2MxNjM5M2I0ZGYifQ=="/>
  </w:docVars>
  <w:rsids>
    <w:rsidRoot w:val="2CF630EE"/>
    <w:rsid w:val="00186338"/>
    <w:rsid w:val="002777A6"/>
    <w:rsid w:val="002A2D9B"/>
    <w:rsid w:val="002F281B"/>
    <w:rsid w:val="00627F22"/>
    <w:rsid w:val="00BD0BBE"/>
    <w:rsid w:val="02E83840"/>
    <w:rsid w:val="04D86A5A"/>
    <w:rsid w:val="05DF2317"/>
    <w:rsid w:val="07B76F1F"/>
    <w:rsid w:val="0EE73DB1"/>
    <w:rsid w:val="0F662812"/>
    <w:rsid w:val="162A73FF"/>
    <w:rsid w:val="1AAD0888"/>
    <w:rsid w:val="1D5E74A3"/>
    <w:rsid w:val="1D671CB2"/>
    <w:rsid w:val="20036392"/>
    <w:rsid w:val="2336220A"/>
    <w:rsid w:val="267F5ABF"/>
    <w:rsid w:val="2A943AC4"/>
    <w:rsid w:val="2BD143B4"/>
    <w:rsid w:val="2CF34E74"/>
    <w:rsid w:val="2CF630EE"/>
    <w:rsid w:val="2E8619BD"/>
    <w:rsid w:val="30240F51"/>
    <w:rsid w:val="30EE1EDE"/>
    <w:rsid w:val="38E42223"/>
    <w:rsid w:val="38F70502"/>
    <w:rsid w:val="3B2D4D7C"/>
    <w:rsid w:val="403B142D"/>
    <w:rsid w:val="416D63EF"/>
    <w:rsid w:val="41A37CA8"/>
    <w:rsid w:val="433330D4"/>
    <w:rsid w:val="444A0903"/>
    <w:rsid w:val="49725156"/>
    <w:rsid w:val="4E44538E"/>
    <w:rsid w:val="50046D53"/>
    <w:rsid w:val="50242389"/>
    <w:rsid w:val="519F4129"/>
    <w:rsid w:val="5B49454F"/>
    <w:rsid w:val="614645CB"/>
    <w:rsid w:val="62606010"/>
    <w:rsid w:val="63645130"/>
    <w:rsid w:val="6AB1072F"/>
    <w:rsid w:val="6B99197C"/>
    <w:rsid w:val="6BBC3E88"/>
    <w:rsid w:val="6CA67FC1"/>
    <w:rsid w:val="6F016219"/>
    <w:rsid w:val="6F5D230E"/>
    <w:rsid w:val="6FA0799F"/>
    <w:rsid w:val="739C3AEB"/>
    <w:rsid w:val="7838403C"/>
    <w:rsid w:val="7CEB6534"/>
    <w:rsid w:val="7EAD3735"/>
    <w:rsid w:val="7F7D35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仿宋" w:cs="Times New Roman"/>
      <w:kern w:val="2"/>
      <w:sz w:val="32"/>
      <w:szCs w:val="22"/>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b/>
      <w:bCs/>
      <w:kern w:val="0"/>
      <w:sz w:val="27"/>
      <w:szCs w:val="27"/>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Autospacing="1"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99"/>
    <w:rPr>
      <w:rFonts w:cs="Times New Roman"/>
      <w:color w:val="0563C1"/>
      <w:u w:val="single"/>
    </w:rPr>
  </w:style>
  <w:style w:type="paragraph" w:styleId="11">
    <w:name w:val="List Paragraph"/>
    <w:basedOn w:val="1"/>
    <w:qFormat/>
    <w:uiPriority w:val="99"/>
    <w:pPr>
      <w:widowControl/>
      <w:ind w:firstLine="420" w:firstLineChars="20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5</Pages>
  <Words>398</Words>
  <Characters>2274</Characters>
  <Lines>18</Lines>
  <Paragraphs>5</Paragraphs>
  <TotalTime>4</TotalTime>
  <ScaleCrop>false</ScaleCrop>
  <LinksUpToDate>false</LinksUpToDate>
  <CharactersWithSpaces>2667</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2023-04-07T07:11:00Z</dcterms:created>
  <dc:creator>破沫</dc:creator>
  <cp:lastModifiedBy>糜小菊</cp:lastModifiedBy>
  <dcterms:modified xsi:type="dcterms:W3CDTF">2026-09-03T09:39:32Z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EDD57DFE964345B0B6ED335A54E43574_13</vt:lpwstr>
  </property>
  <property fmtid="{D5CDD505-2E9C-101B-9397-08002B2CF9AE}" pid="4" name="KSOTemplateDocerSaveRecord">
    <vt:lpwstr>eyJoZGlkIjoiN2Y0YWI5ZjRjYWUwYjM1ZTcxZjg1YWViYWIxY2NlNDIiLCJ1c2VySWQiOiI0MDc5NDg0MTIifQ==</vt:lpwstr>
  </property>
</Properties>
</file>